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E60EC20"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BE7386">
        <w:rPr>
          <w:rFonts w:ascii="Arial" w:hAnsi="Arial" w:cs="Arial"/>
          <w:b/>
          <w:bCs/>
          <w:sz w:val="20"/>
          <w:szCs w:val="20"/>
        </w:rPr>
        <w:t>9</w:t>
      </w:r>
    </w:p>
    <w:p w14:paraId="42CAF92D" w14:textId="33C4EBA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04/02/2026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764DF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764DF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764DF5">
      <w:pPr>
        <w:numPr>
          <w:ilvl w:val="0"/>
          <w:numId w:val="33"/>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764DF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764DF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764DF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764DF5">
      <w:pPr>
        <w:numPr>
          <w:ilvl w:val="0"/>
          <w:numId w:val="34"/>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764DF5">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764DF5">
      <w:pPr>
        <w:numPr>
          <w:ilvl w:val="0"/>
          <w:numId w:val="35"/>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764DF5">
      <w:pPr>
        <w:numPr>
          <w:ilvl w:val="0"/>
          <w:numId w:val="36"/>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4D5D2E50" w:rsidR="00754729" w:rsidRPr="0049371B" w:rsidRDefault="002E51F1"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 xml:space="preserve">Alveley Medical </w:t>
      </w:r>
      <w:proofErr w:type="gramStart"/>
      <w:r>
        <w:rPr>
          <w:rFonts w:ascii="Arial" w:hAnsi="Arial" w:cs="Arial"/>
          <w:b/>
          <w:bCs/>
          <w:sz w:val="20"/>
          <w:szCs w:val="20"/>
        </w:rPr>
        <w:t xml:space="preserve">Practice </w:t>
      </w:r>
      <w:r w:rsidR="00754729" w:rsidRPr="0049371B">
        <w:rPr>
          <w:rFonts w:ascii="Arial" w:hAnsi="Arial" w:cs="Arial"/>
          <w:b/>
          <w:bCs/>
          <w:sz w:val="20"/>
          <w:szCs w:val="20"/>
        </w:rPr>
        <w:t xml:space="preserve"> (</w:t>
      </w:r>
      <w:proofErr w:type="gramEnd"/>
      <w:r w:rsidR="00754729" w:rsidRPr="0049371B">
        <w:rPr>
          <w:rFonts w:ascii="Arial" w:hAnsi="Arial" w:cs="Arial"/>
          <w:b/>
          <w:bCs/>
          <w:sz w:val="20"/>
          <w:szCs w:val="20"/>
        </w:rPr>
        <w:t xml:space="preserve">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764DF5">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764DF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B1754CC" w:rsidR="00E37206" w:rsidRPr="0049371B" w:rsidRDefault="00DB02BD" w:rsidP="00E37206">
      <w:pPr>
        <w:widowControl w:val="0"/>
        <w:spacing w:after="280"/>
        <w:rPr>
          <w:rFonts w:ascii="Arial" w:hAnsi="Arial" w:cs="Arial"/>
          <w:sz w:val="20"/>
          <w:szCs w:val="20"/>
        </w:rPr>
      </w:pPr>
      <w:r w:rsidRPr="0049371B">
        <w:rPr>
          <w:rFonts w:ascii="Arial" w:hAnsi="Arial" w:cs="Arial"/>
          <w:sz w:val="20"/>
          <w:szCs w:val="20"/>
        </w:rPr>
        <w:t>[Practice Name]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764DF5">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764DF5">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764DF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764DF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764DF5">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1A00A648" w:rsidR="0050353A" w:rsidRPr="009908CA" w:rsidRDefault="002E51F1"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 xml:space="preserve">Alveley Medical </w:t>
      </w:r>
      <w:proofErr w:type="gramStart"/>
      <w:r>
        <w:rPr>
          <w:rFonts w:ascii="Arial" w:hAnsi="Arial" w:cs="Arial"/>
          <w:color w:val="000000" w:themeColor="text1"/>
          <w:sz w:val="20"/>
          <w:szCs w:val="20"/>
          <w:highlight w:val="yellow"/>
        </w:rPr>
        <w:t xml:space="preserve">Practice </w:t>
      </w:r>
      <w:r w:rsidR="0050353A" w:rsidRPr="009908CA">
        <w:rPr>
          <w:rFonts w:ascii="Arial" w:hAnsi="Arial" w:cs="Arial"/>
          <w:color w:val="000000" w:themeColor="text1"/>
          <w:sz w:val="20"/>
          <w:szCs w:val="20"/>
          <w:highlight w:val="yellow"/>
        </w:rPr>
        <w:t xml:space="preserve"> has</w:t>
      </w:r>
      <w:proofErr w:type="gramEnd"/>
      <w:r w:rsidR="0050353A" w:rsidRPr="009908CA">
        <w:rPr>
          <w:rFonts w:ascii="Arial" w:hAnsi="Arial" w:cs="Arial"/>
          <w:color w:val="000000" w:themeColor="text1"/>
          <w:sz w:val="20"/>
          <w:szCs w:val="20"/>
          <w:highlight w:val="yellow"/>
        </w:rPr>
        <w:t xml:space="preserve">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764DF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764DF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764DF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764DF5">
      <w:pPr>
        <w:numPr>
          <w:ilvl w:val="0"/>
          <w:numId w:val="20"/>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764DF5">
      <w:pPr>
        <w:numPr>
          <w:ilvl w:val="0"/>
          <w:numId w:val="21"/>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764DF5">
      <w:pPr>
        <w:numPr>
          <w:ilvl w:val="0"/>
          <w:numId w:val="21"/>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764DF5">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764DF5">
      <w:pPr>
        <w:numPr>
          <w:ilvl w:val="0"/>
          <w:numId w:val="32"/>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764DF5">
      <w:pPr>
        <w:numPr>
          <w:ilvl w:val="0"/>
          <w:numId w:val="22"/>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764DF5">
      <w:pPr>
        <w:numPr>
          <w:ilvl w:val="0"/>
          <w:numId w:val="22"/>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764DF5">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764DF5">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764DF5">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764DF5">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764DF5">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764DF5">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764DF5">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764DF5">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764DF5">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764DF5">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764DF5">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764DF5">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764DF5">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764DF5">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764DF5">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764DF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764DF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764DF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764DF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764DF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764DF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764DF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764DF5">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764DF5">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764DF5">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764DF5">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764DF5">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764DF5">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764DF5">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764DF5">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764DF5">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764DF5">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764DF5">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764DF5">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764DF5">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764DF5">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764DF5">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764DF5">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764DF5">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764DF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764DF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764DF5">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764DF5">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764DF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764DF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764DF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764DF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764DF5">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764DF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764DF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764DF5">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764DF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764DF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764DF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764DF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764DF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764DF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764DF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764DF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764DF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764DF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764DF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764DF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764DF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764DF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764DF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764DF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764DF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764DF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764DF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764DF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764DF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764DF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764DF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764DF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764DF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764DF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764DF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764DF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764DF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764DF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764DF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764DF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764DF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764DF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764DF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764DF5">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764DF5">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764DF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764DF5">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764DF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764DF5">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764DF5">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764DF5">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764DF5">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0F7E69BF" w14:textId="77777777" w:rsidR="00A24734" w:rsidRPr="0049371B" w:rsidRDefault="00A24734" w:rsidP="00A24734">
      <w:pPr>
        <w:pStyle w:val="Heading1"/>
        <w:rPr>
          <w:rFonts w:ascii="Arial" w:hAnsi="Arial" w:cs="Arial"/>
          <w:b/>
          <w:bCs/>
          <w:color w:val="auto"/>
          <w:sz w:val="20"/>
          <w:szCs w:val="20"/>
        </w:rPr>
      </w:pPr>
      <w:bookmarkStart w:id="8" w:name="_Toc31368654"/>
      <w:r w:rsidRPr="0049371B">
        <w:rPr>
          <w:rFonts w:ascii="Arial" w:hAnsi="Arial" w:cs="Arial"/>
          <w:b/>
          <w:bCs/>
          <w:color w:val="auto"/>
          <w:sz w:val="20"/>
          <w:szCs w:val="20"/>
        </w:rPr>
        <w:t>Telephone system</w:t>
      </w:r>
      <w:bookmarkEnd w:id="8"/>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764DF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764DF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764DF5">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764DF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764DF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764DF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764DF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764DF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764DF5">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764DF5">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764DF5">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764DF5">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the Phoenix Partnership (Leeds) Ltd (TPP) and Optum (formerly EMIS Group PLC) to host the service in their secure data centres and allow access to approved users</w:t>
      </w:r>
    </w:p>
    <w:p w14:paraId="7C9D1151" w14:textId="77777777" w:rsidR="004D76DD" w:rsidRPr="00C76805" w:rsidRDefault="004D76DD" w:rsidP="00764DF5">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764DF5"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6A2571B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[Practice </w:t>
      </w:r>
      <w:proofErr w:type="gramStart"/>
      <w:r w:rsidRPr="0049371B">
        <w:rPr>
          <w:rFonts w:ascii="Arial" w:hAnsi="Arial" w:cs="Arial"/>
          <w:sz w:val="20"/>
          <w:szCs w:val="20"/>
        </w:rPr>
        <w:t>Name]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4DB3" w14:textId="77777777" w:rsidR="00764DF5" w:rsidRDefault="00764DF5" w:rsidP="00F51C46">
      <w:r>
        <w:separator/>
      </w:r>
    </w:p>
  </w:endnote>
  <w:endnote w:type="continuationSeparator" w:id="0">
    <w:p w14:paraId="4CD9416D" w14:textId="77777777" w:rsidR="00764DF5" w:rsidRDefault="00764DF5"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E7CC" w14:textId="77777777" w:rsidR="00764DF5" w:rsidRDefault="00764DF5" w:rsidP="00F51C46">
      <w:r>
        <w:separator/>
      </w:r>
    </w:p>
  </w:footnote>
  <w:footnote w:type="continuationSeparator" w:id="0">
    <w:p w14:paraId="095036A6" w14:textId="77777777" w:rsidR="00764DF5" w:rsidRDefault="00764DF5"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2E51F1"/>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5DC"/>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64DF5"/>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17822</Words>
  <Characters>101591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DOLMAN, Theresa (ALVELEY MEDICAL PRACTICE)</cp:lastModifiedBy>
  <cp:revision>2</cp:revision>
  <cp:lastPrinted>2019-06-13T09:46:00Z</cp:lastPrinted>
  <dcterms:created xsi:type="dcterms:W3CDTF">2026-05-29T07:58:00Z</dcterms:created>
  <dcterms:modified xsi:type="dcterms:W3CDTF">2026-05-29T07:58:00Z</dcterms:modified>
</cp:coreProperties>
</file>